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rPr>
          <w:rFonts w:eastAsia="仿宋"/>
          <w:sz w:val="32"/>
          <w:szCs w:val="32"/>
        </w:rPr>
      </w:pPr>
      <w:r>
        <w:rPr>
          <w:rFonts w:eastAsia="仿宋"/>
          <w:sz w:val="32"/>
          <w:szCs w:val="32"/>
        </w:rPr>
        <w:t>附5：</w:t>
      </w:r>
    </w:p>
    <w:p>
      <w:pPr>
        <w:adjustRightInd w:val="0"/>
        <w:spacing w:beforeLines="100" w:afterLines="100" w:line="360" w:lineRule="auto"/>
        <w:jc w:val="center"/>
        <w:rPr>
          <w:rStyle w:val="12"/>
          <w:rFonts w:ascii="Times New Roman" w:hAnsi="Times New Roman" w:eastAsia="方正小标宋_GBK"/>
          <w:b w:val="0"/>
          <w:bCs w:val="0"/>
          <w:color w:val="000000"/>
          <w:sz w:val="44"/>
          <w:szCs w:val="44"/>
        </w:rPr>
      </w:pPr>
      <w:r>
        <w:rPr>
          <w:rStyle w:val="12"/>
          <w:rFonts w:ascii="Times New Roman" w:hAnsi="Times New Roman" w:eastAsia="方正小标宋_GBK"/>
          <w:b w:val="0"/>
          <w:bCs w:val="0"/>
          <w:color w:val="000000"/>
          <w:sz w:val="44"/>
          <w:szCs w:val="44"/>
        </w:rPr>
        <w:t>研究生学业奖学金实施细则</w:t>
      </w:r>
    </w:p>
    <w:p>
      <w:pPr>
        <w:adjustRightInd w:val="0"/>
        <w:snapToGrid w:val="0"/>
        <w:spacing w:line="360" w:lineRule="auto"/>
        <w:ind w:firstLine="642" w:firstLineChars="200"/>
        <w:rPr>
          <w:rFonts w:eastAsia="仿宋_GB2312"/>
          <w:color w:val="000000" w:themeColor="text1"/>
          <w:kern w:val="2"/>
          <w:sz w:val="32"/>
          <w:szCs w:val="28"/>
        </w:rPr>
      </w:pPr>
      <w:r>
        <w:rPr>
          <w:rFonts w:eastAsia="仿宋_GB2312"/>
          <w:b/>
          <w:color w:val="000000" w:themeColor="text1"/>
          <w:sz w:val="32"/>
          <w:szCs w:val="28"/>
        </w:rPr>
        <w:t>第一条</w:t>
      </w:r>
      <w:r>
        <w:rPr>
          <w:rFonts w:hint="eastAsia" w:eastAsia="仿宋_GB2312"/>
          <w:b/>
          <w:color w:val="000000" w:themeColor="text1"/>
          <w:sz w:val="32"/>
          <w:szCs w:val="28"/>
          <w:lang w:val="en-US" w:eastAsia="zh-CN"/>
        </w:rPr>
        <w:t xml:space="preserve"> </w:t>
      </w:r>
      <w:r>
        <w:rPr>
          <w:rFonts w:eastAsia="仿宋_GB2312"/>
          <w:color w:val="000000" w:themeColor="text1"/>
          <w:kern w:val="2"/>
          <w:sz w:val="32"/>
          <w:szCs w:val="28"/>
        </w:rPr>
        <w:t>研究生学业奖学金，用于激励研究生勤奋学习、潜心科研、勇于创新、积极进取，在全面实行研究生教育收费制度的情况下更好地支持研究生顺利完成学业。</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第二条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本细则所称研究生是指中央高校纳入全国研究生招生计划的全日制研究生。</w:t>
      </w:r>
    </w:p>
    <w:p>
      <w:pPr>
        <w:adjustRightInd w:val="0"/>
        <w:snapToGrid w:val="0"/>
        <w:spacing w:line="360" w:lineRule="auto"/>
        <w:ind w:firstLine="642" w:firstLineChars="200"/>
        <w:rPr>
          <w:rFonts w:eastAsia="仿宋_GB2312"/>
          <w:color w:val="000000" w:themeColor="text1"/>
          <w:kern w:val="2"/>
          <w:sz w:val="32"/>
          <w:szCs w:val="28"/>
        </w:rPr>
      </w:pPr>
      <w:r>
        <w:rPr>
          <w:rFonts w:eastAsia="仿宋_GB2312"/>
          <w:b/>
          <w:color w:val="000000" w:themeColor="text1"/>
          <w:sz w:val="32"/>
          <w:szCs w:val="28"/>
        </w:rPr>
        <w:t>第三条</w:t>
      </w:r>
      <w:r>
        <w:rPr>
          <w:rFonts w:hint="eastAsia" w:eastAsia="仿宋_GB2312"/>
          <w:b/>
          <w:color w:val="000000" w:themeColor="text1"/>
          <w:sz w:val="32"/>
          <w:szCs w:val="28"/>
          <w:lang w:val="en-US" w:eastAsia="zh-CN"/>
        </w:rPr>
        <w:t xml:space="preserve"> </w:t>
      </w:r>
      <w:r>
        <w:rPr>
          <w:rFonts w:eastAsia="仿宋_GB2312"/>
          <w:color w:val="000000" w:themeColor="text1"/>
          <w:kern w:val="2"/>
          <w:sz w:val="32"/>
          <w:szCs w:val="28"/>
        </w:rPr>
        <w:t>中央高校研究生学业奖学金由中央高校负责组织实施。中央高校应</w:t>
      </w:r>
      <w:r>
        <w:rPr>
          <w:rFonts w:hint="eastAsia" w:eastAsia="仿宋_GB2312"/>
          <w:color w:val="000000" w:themeColor="text1"/>
          <w:kern w:val="2"/>
          <w:sz w:val="32"/>
          <w:szCs w:val="28"/>
        </w:rPr>
        <w:t>统筹利用财政拨款、学费收入、社会捐助等，根据研究生学业成绩、科研成果、社会服务等因素，确定研究生学业奖学金的覆盖面、等级、奖励标准，并根据实际情况动态调整。研究生学业奖学金名额分配应向基础学科和国家亟需的学科（专业、方向）倾斜</w:t>
      </w:r>
      <w:r>
        <w:rPr>
          <w:rFonts w:eastAsia="仿宋_GB2312"/>
          <w:color w:val="000000" w:themeColor="text1"/>
          <w:kern w:val="2"/>
          <w:sz w:val="32"/>
          <w:szCs w:val="28"/>
        </w:rPr>
        <w:t>。</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四</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研究生学业奖学金基本申请条件：</w:t>
      </w:r>
    </w:p>
    <w:p>
      <w:pPr>
        <w:adjustRightInd w:val="0"/>
        <w:snapToGrid w:val="0"/>
        <w:spacing w:line="360" w:lineRule="auto"/>
        <w:ind w:firstLine="640" w:firstLineChars="200"/>
        <w:rPr>
          <w:rFonts w:eastAsia="仿宋_GB2312"/>
          <w:color w:val="000000" w:themeColor="text1"/>
          <w:sz w:val="32"/>
          <w:szCs w:val="28"/>
        </w:rPr>
      </w:pPr>
      <w:r>
        <w:rPr>
          <w:rFonts w:eastAsia="仿宋_GB2312"/>
          <w:color w:val="000000" w:themeColor="text1"/>
          <w:sz w:val="32"/>
          <w:szCs w:val="28"/>
        </w:rPr>
        <w:t>（一）具有中华人民共和国国籍；</w:t>
      </w:r>
    </w:p>
    <w:p>
      <w:pPr>
        <w:adjustRightInd w:val="0"/>
        <w:snapToGrid w:val="0"/>
        <w:spacing w:line="360" w:lineRule="auto"/>
        <w:ind w:firstLine="640" w:firstLineChars="200"/>
        <w:rPr>
          <w:rFonts w:eastAsia="仿宋_GB2312"/>
          <w:color w:val="000000" w:themeColor="text1"/>
          <w:sz w:val="32"/>
          <w:szCs w:val="28"/>
        </w:rPr>
      </w:pPr>
      <w:r>
        <w:rPr>
          <w:rFonts w:eastAsia="仿宋_GB2312"/>
          <w:color w:val="000000" w:themeColor="text1"/>
          <w:sz w:val="32"/>
          <w:szCs w:val="28"/>
        </w:rPr>
        <w:t>（二）热爱祖国，拥护中国共产党的领导；</w:t>
      </w:r>
    </w:p>
    <w:p>
      <w:pPr>
        <w:adjustRightInd w:val="0"/>
        <w:snapToGrid w:val="0"/>
        <w:spacing w:line="360" w:lineRule="auto"/>
        <w:ind w:firstLine="640" w:firstLineChars="200"/>
        <w:rPr>
          <w:rFonts w:eastAsia="仿宋_GB2312"/>
          <w:color w:val="000000" w:themeColor="text1"/>
          <w:sz w:val="32"/>
          <w:szCs w:val="28"/>
        </w:rPr>
      </w:pPr>
      <w:r>
        <w:rPr>
          <w:rFonts w:eastAsia="仿宋_GB2312"/>
          <w:color w:val="000000" w:themeColor="text1"/>
          <w:sz w:val="32"/>
          <w:szCs w:val="28"/>
        </w:rPr>
        <w:t>（三）遵守宪法和法律，遵守高等学校规章制度；</w:t>
      </w:r>
    </w:p>
    <w:p>
      <w:pPr>
        <w:adjustRightInd w:val="0"/>
        <w:snapToGrid w:val="0"/>
        <w:spacing w:line="360" w:lineRule="auto"/>
        <w:ind w:firstLine="640" w:firstLineChars="200"/>
        <w:rPr>
          <w:rFonts w:eastAsia="仿宋_GB2312"/>
          <w:color w:val="000000" w:themeColor="text1"/>
          <w:sz w:val="32"/>
          <w:szCs w:val="28"/>
        </w:rPr>
      </w:pPr>
      <w:r>
        <w:rPr>
          <w:rFonts w:eastAsia="仿宋_GB2312"/>
          <w:color w:val="000000" w:themeColor="text1"/>
          <w:sz w:val="32"/>
          <w:szCs w:val="28"/>
        </w:rPr>
        <w:t>（四）诚实守信，品学兼优；</w:t>
      </w:r>
    </w:p>
    <w:p>
      <w:pPr>
        <w:adjustRightInd w:val="0"/>
        <w:snapToGrid w:val="0"/>
        <w:spacing w:line="360" w:lineRule="auto"/>
        <w:ind w:firstLine="640" w:firstLineChars="200"/>
        <w:rPr>
          <w:rFonts w:eastAsia="仿宋_GB2312"/>
          <w:color w:val="000000" w:themeColor="text1"/>
          <w:sz w:val="32"/>
          <w:szCs w:val="28"/>
        </w:rPr>
      </w:pPr>
      <w:r>
        <w:rPr>
          <w:rFonts w:eastAsia="仿宋_GB2312"/>
          <w:color w:val="000000" w:themeColor="text1"/>
          <w:sz w:val="32"/>
          <w:szCs w:val="28"/>
        </w:rPr>
        <w:t>（五）积极参与科学研究和社会实践。</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五</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直博生和招生简章中注明不授予中间学位的本硕博、硕博连读学生，根据当年所修课程的层次阶段确定身份参与</w:t>
      </w:r>
      <w:r>
        <w:rPr>
          <w:rFonts w:hint="eastAsia" w:eastAsia="仿宋_GB2312"/>
          <w:color w:val="000000" w:themeColor="text1"/>
          <w:sz w:val="32"/>
          <w:szCs w:val="28"/>
          <w:lang w:eastAsia="zh-CN"/>
        </w:rPr>
        <w:t>研究生</w:t>
      </w:r>
      <w:r>
        <w:rPr>
          <w:rFonts w:eastAsia="仿宋_GB2312"/>
          <w:color w:val="000000" w:themeColor="text1"/>
          <w:sz w:val="32"/>
          <w:szCs w:val="28"/>
        </w:rPr>
        <w:t>学业奖学金的评定。在选修硕士课程阶段按照硕士研究生身份参与评定，进入选修博士研究生课程阶段按照博士研究生身份参与评定。</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六</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kern w:val="2"/>
          <w:sz w:val="32"/>
          <w:szCs w:val="28"/>
        </w:rPr>
        <w:t>获得研究生学业奖学金奖励的研究生，</w:t>
      </w:r>
      <w:r>
        <w:rPr>
          <w:rFonts w:hint="eastAsia" w:eastAsia="仿宋_GB2312"/>
          <w:color w:val="000000" w:themeColor="text1"/>
          <w:kern w:val="2"/>
          <w:sz w:val="32"/>
          <w:szCs w:val="28"/>
          <w:lang w:eastAsia="zh-CN"/>
        </w:rPr>
        <w:t>符合相应条件的</w:t>
      </w:r>
      <w:r>
        <w:rPr>
          <w:rFonts w:eastAsia="仿宋_GB2312"/>
          <w:color w:val="000000" w:themeColor="text1"/>
          <w:kern w:val="2"/>
          <w:sz w:val="32"/>
          <w:szCs w:val="28"/>
        </w:rPr>
        <w:t>可以同时获得研究生国家奖学金、研究生国家助学金等其他研究生国家奖助政策以及校内其他研究生奖助政策资助。</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七</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中央高校应建立健全与本校研究生规模和管理机构相适应的研究生学业奖学金评审机制。</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八</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中央高校应成立研究生学业奖学金评审领导小组，由校主管领导、相关职能部门负责人、研究生导师代表等组成。评审领导小组按照本细则有关规定，负责制定本校研究生学业奖学金评审实施细则，制定名额分配方案，统筹领导、协调和监督本校评审工作，并裁决有关申诉事项。</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w:t>
      </w:r>
      <w:r>
        <w:rPr>
          <w:rFonts w:hint="eastAsia" w:eastAsia="仿宋_GB2312"/>
          <w:b/>
          <w:color w:val="000000" w:themeColor="text1"/>
          <w:sz w:val="32"/>
          <w:szCs w:val="28"/>
          <w:lang w:eastAsia="zh-CN"/>
        </w:rPr>
        <w:t>九</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kern w:val="2"/>
          <w:sz w:val="32"/>
          <w:szCs w:val="28"/>
        </w:rPr>
        <w:t>中央高校下设的基层单位（</w:t>
      </w:r>
      <w:r>
        <w:rPr>
          <w:rFonts w:hint="eastAsia" w:eastAsia="仿宋_GB2312"/>
          <w:color w:val="000000" w:themeColor="text1"/>
          <w:kern w:val="2"/>
          <w:sz w:val="32"/>
          <w:szCs w:val="28"/>
          <w:lang w:eastAsia="zh-CN"/>
        </w:rPr>
        <w:t>含</w:t>
      </w:r>
      <w:r>
        <w:rPr>
          <w:rFonts w:eastAsia="仿宋_GB2312"/>
          <w:color w:val="000000" w:themeColor="text1"/>
          <w:kern w:val="2"/>
          <w:sz w:val="32"/>
          <w:szCs w:val="28"/>
        </w:rPr>
        <w:t>院、系、所、中心，下同）应成立研究生学业奖学金评审委员会，由基层单位主要领导任主任委员，研究生导师、行政管理人员、学生代表任委员，负责本单位研究生学业奖学金的申请组织、初步评审等工作。</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第十条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基层单位研究生学业奖学金评审委员会确定本单位获奖学生名单后，应在本基层单位内进行不少于5个工作日的公示。公示无异议后，提交高校研究生学业奖学金评审领导小组审定，审定结果在高校范围内进行不少于5个工作日的公示。</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第十</w:t>
      </w:r>
      <w:r>
        <w:rPr>
          <w:rFonts w:hint="eastAsia" w:eastAsia="仿宋_GB2312"/>
          <w:b/>
          <w:color w:val="000000" w:themeColor="text1"/>
          <w:sz w:val="32"/>
          <w:szCs w:val="28"/>
          <w:lang w:eastAsia="zh-CN"/>
        </w:rPr>
        <w:t>一</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对研究生学业奖学金评审结果有异议的，可在基层单位公示阶段向所在基层单位评审委员会提出申诉，评审委员会应及时研究并予以答复。如申诉人对基层单位作出的答复仍存在异议，可在学校公示阶段向研究生学业奖学金评审领导小组提请裁决。</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第十</w:t>
      </w:r>
      <w:r>
        <w:rPr>
          <w:rFonts w:hint="eastAsia" w:eastAsia="仿宋_GB2312"/>
          <w:b/>
          <w:color w:val="000000" w:themeColor="text1"/>
          <w:sz w:val="32"/>
          <w:szCs w:val="28"/>
          <w:lang w:eastAsia="zh-CN"/>
        </w:rPr>
        <w:t>二</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研究生学业奖学金的评审工作应坚持公正、公平、公开、择优的原则，严格执行国家有关教育法规，杜绝弄虚作假。</w:t>
      </w:r>
    </w:p>
    <w:p>
      <w:pPr>
        <w:adjustRightInd w:val="0"/>
        <w:snapToGrid w:val="0"/>
        <w:spacing w:line="360" w:lineRule="auto"/>
        <w:ind w:firstLine="642" w:firstLineChars="200"/>
        <w:rPr>
          <w:rFonts w:eastAsia="仿宋_GB2312"/>
          <w:color w:val="000000" w:themeColor="text1"/>
          <w:sz w:val="32"/>
          <w:szCs w:val="28"/>
        </w:rPr>
      </w:pPr>
      <w:r>
        <w:rPr>
          <w:rFonts w:eastAsia="仿宋_GB2312"/>
          <w:b/>
          <w:color w:val="000000" w:themeColor="text1"/>
          <w:sz w:val="32"/>
          <w:szCs w:val="28"/>
        </w:rPr>
        <w:t>第十</w:t>
      </w:r>
      <w:r>
        <w:rPr>
          <w:rFonts w:hint="eastAsia" w:eastAsia="仿宋_GB2312"/>
          <w:b/>
          <w:color w:val="000000" w:themeColor="text1"/>
          <w:sz w:val="32"/>
          <w:szCs w:val="28"/>
          <w:lang w:eastAsia="zh-CN"/>
        </w:rPr>
        <w:t>三</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r>
        <w:rPr>
          <w:rFonts w:eastAsia="仿宋_GB2312"/>
          <w:color w:val="000000" w:themeColor="text1"/>
          <w:sz w:val="32"/>
          <w:szCs w:val="28"/>
        </w:rPr>
        <w:t>中央高校于每年12月31日前将当年研究生学业奖学金一次性发放给获奖学生，并将研究生获得学业奖学金情况记入学生学籍档案。</w:t>
      </w:r>
    </w:p>
    <w:p>
      <w:pPr>
        <w:adjustRightInd w:val="0"/>
        <w:snapToGrid w:val="0"/>
        <w:spacing w:line="360" w:lineRule="auto"/>
        <w:ind w:firstLine="642" w:firstLineChars="200"/>
        <w:rPr>
          <w:rFonts w:eastAsia="仿宋_GB2312"/>
          <w:color w:val="000000" w:themeColor="text1"/>
          <w:kern w:val="2"/>
          <w:sz w:val="32"/>
          <w:szCs w:val="28"/>
        </w:rPr>
      </w:pPr>
      <w:r>
        <w:rPr>
          <w:rFonts w:eastAsia="仿宋_GB2312"/>
          <w:b/>
          <w:color w:val="000000" w:themeColor="text1"/>
          <w:sz w:val="32"/>
          <w:szCs w:val="28"/>
        </w:rPr>
        <w:t>第十</w:t>
      </w:r>
      <w:r>
        <w:rPr>
          <w:rFonts w:hint="eastAsia" w:eastAsia="仿宋_GB2312"/>
          <w:b/>
          <w:color w:val="000000" w:themeColor="text1"/>
          <w:sz w:val="32"/>
          <w:szCs w:val="28"/>
          <w:lang w:eastAsia="zh-CN"/>
        </w:rPr>
        <w:t>四</w:t>
      </w:r>
      <w:r>
        <w:rPr>
          <w:rFonts w:eastAsia="仿宋_GB2312"/>
          <w:b/>
          <w:color w:val="000000" w:themeColor="text1"/>
          <w:sz w:val="32"/>
          <w:szCs w:val="28"/>
        </w:rPr>
        <w:t>条</w:t>
      </w:r>
      <w:r>
        <w:rPr>
          <w:rFonts w:hint="eastAsia" w:eastAsia="仿宋_GB2312"/>
          <w:b/>
          <w:color w:val="000000" w:themeColor="text1"/>
          <w:sz w:val="32"/>
          <w:szCs w:val="28"/>
          <w:lang w:val="en-US" w:eastAsia="zh-CN"/>
        </w:rPr>
        <w:t xml:space="preserve"> </w:t>
      </w:r>
      <w:bookmarkStart w:id="0" w:name="_GoBack"/>
      <w:bookmarkEnd w:id="0"/>
      <w:r>
        <w:rPr>
          <w:rFonts w:eastAsia="仿宋_GB2312"/>
          <w:color w:val="000000" w:themeColor="text1"/>
          <w:kern w:val="2"/>
          <w:sz w:val="32"/>
          <w:szCs w:val="28"/>
        </w:rPr>
        <w:t>各省（自治区、直辖市、计划单列市）财政、教育部门要根据本细则精神，确定地方财政对本省（自治区、直辖市、计划单列市）所属高校研究生学业奖学金的支持力度，</w:t>
      </w:r>
      <w:r>
        <w:rPr>
          <w:rFonts w:hint="eastAsia" w:eastAsia="仿宋_GB2312"/>
          <w:color w:val="000000" w:themeColor="text1"/>
          <w:kern w:val="2"/>
          <w:sz w:val="32"/>
          <w:szCs w:val="28"/>
        </w:rPr>
        <w:t>适时修定</w:t>
      </w:r>
      <w:r>
        <w:rPr>
          <w:rFonts w:eastAsia="仿宋_GB2312"/>
          <w:color w:val="000000" w:themeColor="text1"/>
          <w:kern w:val="2"/>
          <w:sz w:val="32"/>
          <w:szCs w:val="28"/>
        </w:rPr>
        <w:t>地方所属高校研究生学业奖学金管理办法。</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仿宋_GB2312" w:hAnsi="Times New Roman" w:eastAsia="仿宋_GB2312" w:cs="Times New Roman"/>
        <w:sz w:val="24"/>
        <w:szCs w:val="24"/>
      </w:rPr>
      <w:id w:val="25860258"/>
      <w:docPartObj>
        <w:docPartGallery w:val="autotext"/>
      </w:docPartObj>
    </w:sdtPr>
    <w:sdtEndPr>
      <w:rPr>
        <w:rFonts w:hint="eastAsia" w:ascii="仿宋_GB2312" w:hAnsi="Times New Roman" w:eastAsia="仿宋_GB2312" w:cs="Times New Roman"/>
        <w:sz w:val="24"/>
        <w:szCs w:val="24"/>
      </w:rPr>
    </w:sdtEndPr>
    <w:sdtContent>
      <w:p>
        <w:pPr>
          <w:pStyle w:val="4"/>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fldChar w:fldCharType="begin"/>
        </w:r>
        <w:r>
          <w:rPr>
            <w:rFonts w:hint="eastAsia" w:ascii="仿宋_GB2312" w:hAnsi="Times New Roman" w:eastAsia="仿宋_GB2312" w:cs="Times New Roman"/>
            <w:sz w:val="24"/>
            <w:szCs w:val="24"/>
          </w:rPr>
          <w:instrText xml:space="preserve"> PAGE   \* MERGEFORMAT </w:instrText>
        </w:r>
        <w:r>
          <w:rPr>
            <w:rFonts w:hint="eastAsia" w:ascii="仿宋_GB2312" w:hAnsi="Times New Roman" w:eastAsia="仿宋_GB2312" w:cs="Times New Roman"/>
            <w:sz w:val="24"/>
            <w:szCs w:val="24"/>
          </w:rPr>
          <w:fldChar w:fldCharType="separate"/>
        </w:r>
        <w:r>
          <w:rPr>
            <w:rFonts w:ascii="仿宋_GB2312" w:hAnsi="Times New Roman" w:eastAsia="仿宋_GB2312" w:cs="Times New Roman"/>
            <w:sz w:val="24"/>
            <w:szCs w:val="24"/>
            <w:lang w:val="zh-CN"/>
          </w:rPr>
          <w:t>1</w:t>
        </w:r>
        <w:r>
          <w:rPr>
            <w:rFonts w:hint="eastAsia" w:ascii="仿宋_GB2312" w:hAnsi="Times New Roman" w:eastAsia="仿宋_GB2312" w:cs="Times New Roman"/>
            <w:sz w:val="24"/>
            <w:szCs w:val="24"/>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A09F0"/>
    <w:rsid w:val="00050494"/>
    <w:rsid w:val="000550EF"/>
    <w:rsid w:val="00067794"/>
    <w:rsid w:val="00130526"/>
    <w:rsid w:val="00142DE7"/>
    <w:rsid w:val="00173D69"/>
    <w:rsid w:val="001745AE"/>
    <w:rsid w:val="00192B67"/>
    <w:rsid w:val="001D10FF"/>
    <w:rsid w:val="002E2F11"/>
    <w:rsid w:val="003040FD"/>
    <w:rsid w:val="003961AE"/>
    <w:rsid w:val="003E2AFA"/>
    <w:rsid w:val="004636FC"/>
    <w:rsid w:val="004F254D"/>
    <w:rsid w:val="005145EB"/>
    <w:rsid w:val="00586D23"/>
    <w:rsid w:val="005C629B"/>
    <w:rsid w:val="005F25C8"/>
    <w:rsid w:val="006016A9"/>
    <w:rsid w:val="00602973"/>
    <w:rsid w:val="00623B6C"/>
    <w:rsid w:val="006654B6"/>
    <w:rsid w:val="00740061"/>
    <w:rsid w:val="00760D12"/>
    <w:rsid w:val="007737AF"/>
    <w:rsid w:val="007866AD"/>
    <w:rsid w:val="007934E5"/>
    <w:rsid w:val="007A09F0"/>
    <w:rsid w:val="007B77F6"/>
    <w:rsid w:val="007D791D"/>
    <w:rsid w:val="00883473"/>
    <w:rsid w:val="0089343B"/>
    <w:rsid w:val="008B59FD"/>
    <w:rsid w:val="00932E34"/>
    <w:rsid w:val="009A0DEF"/>
    <w:rsid w:val="009F47AA"/>
    <w:rsid w:val="00A512A5"/>
    <w:rsid w:val="00A51401"/>
    <w:rsid w:val="00A709E8"/>
    <w:rsid w:val="00A73F6C"/>
    <w:rsid w:val="00A91DCC"/>
    <w:rsid w:val="00AE2108"/>
    <w:rsid w:val="00AF68F0"/>
    <w:rsid w:val="00BC363D"/>
    <w:rsid w:val="00BE55D7"/>
    <w:rsid w:val="00C05163"/>
    <w:rsid w:val="00C56025"/>
    <w:rsid w:val="00C744D6"/>
    <w:rsid w:val="00D019CA"/>
    <w:rsid w:val="00D06421"/>
    <w:rsid w:val="00D744DB"/>
    <w:rsid w:val="00DB6E71"/>
    <w:rsid w:val="00DC5485"/>
    <w:rsid w:val="00E35395"/>
    <w:rsid w:val="00E42B09"/>
    <w:rsid w:val="00E54A79"/>
    <w:rsid w:val="00E61CDD"/>
    <w:rsid w:val="00E91DA0"/>
    <w:rsid w:val="00F01413"/>
    <w:rsid w:val="00FC369D"/>
    <w:rsid w:val="26EFFD0F"/>
    <w:rsid w:val="357E269A"/>
    <w:rsid w:val="3DB1894E"/>
    <w:rsid w:val="5DDFEA80"/>
    <w:rsid w:val="76FEFFE6"/>
    <w:rsid w:val="7CBE9432"/>
    <w:rsid w:val="7F96063E"/>
    <w:rsid w:val="96E7BF4A"/>
    <w:rsid w:val="A8EFDE81"/>
    <w:rsid w:val="F63394AB"/>
    <w:rsid w:val="FFF09F62"/>
    <w:rsid w:val="FFF345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样式 标题 2 + 仿宋_GB2312 Char"/>
    <w:basedOn w:val="8"/>
    <w:qFormat/>
    <w:uiPriority w:val="0"/>
    <w:rPr>
      <w:rFonts w:ascii="仿宋_GB2312" w:hAnsi="仿宋_GB2312" w:eastAsia="仿宋_GB2312" w:cs="Times New Roman"/>
      <w:b/>
      <w:bCs/>
      <w:kern w:val="2"/>
      <w:sz w:val="32"/>
      <w:szCs w:val="32"/>
      <w:lang w:val="en-US" w:eastAsia="zh-CN" w:bidi="ar-SA"/>
    </w:rPr>
  </w:style>
  <w:style w:type="character" w:customStyle="1" w:styleId="13">
    <w:name w:val="批注文字 Char"/>
    <w:basedOn w:val="8"/>
    <w:link w:val="2"/>
    <w:semiHidden/>
    <w:qFormat/>
    <w:uiPriority w:val="99"/>
    <w:rPr>
      <w:rFonts w:ascii="Times New Roman" w:hAnsi="Times New Roman" w:eastAsia="宋体" w:cs="Times New Roman"/>
      <w:kern w:val="0"/>
      <w:szCs w:val="21"/>
    </w:rPr>
  </w:style>
  <w:style w:type="character" w:customStyle="1" w:styleId="14">
    <w:name w:val="批注主题 Char"/>
    <w:basedOn w:val="13"/>
    <w:link w:val="6"/>
    <w:semiHidden/>
    <w:qFormat/>
    <w:uiPriority w:val="99"/>
    <w:rPr>
      <w:rFonts w:ascii="Times New Roman" w:hAnsi="Times New Roman" w:eastAsia="宋体" w:cs="Times New Roman"/>
      <w:b/>
      <w:bCs/>
      <w:kern w:val="0"/>
      <w:szCs w:val="21"/>
    </w:rPr>
  </w:style>
  <w:style w:type="character" w:customStyle="1" w:styleId="15">
    <w:name w:val="批注框文本 Char"/>
    <w:basedOn w:val="8"/>
    <w:link w:val="3"/>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216</Words>
  <Characters>1232</Characters>
  <Lines>10</Lines>
  <Paragraphs>2</Paragraphs>
  <TotalTime>5</TotalTime>
  <ScaleCrop>false</ScaleCrop>
  <LinksUpToDate>false</LinksUpToDate>
  <CharactersWithSpaces>1446</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2019-02-02T07:24:00Z</dcterms:created>
  <dc:creator>Windows 用户</dc:creator>
  <cp:lastModifiedBy>chenshan</cp:lastModifiedBy>
  <dcterms:modified xsi:type="dcterms:W3CDTF">2022-01-21T18:12:17Z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